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b/>
          <w:color w:val="66717E"/>
          <w:sz w:val="17"/>
        </w:rPr>
        <w:t>EQUITY RESEARCH | DCF VALUATION</w:t>
      </w:r>
    </w:p>
    <w:p>
      <w:pPr>
        <w:pStyle w:val="Title"/>
      </w:pPr>
      <w:r>
        <w:t>ITC Limited</w:t>
      </w:r>
    </w:p>
    <w:p>
      <w:r>
        <w:rPr>
          <w:color w:val="66717E"/>
          <w:sz w:val="28"/>
        </w:rPr>
        <w:t>Formula-driven FCFF valuation &amp; exploratory macro regression</w:t>
      </w:r>
    </w:p>
    <w:p/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INR 362.7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Illustrative DCF / share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37.7%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Gap to reference price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9.5%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Central WACC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4.5%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Terminal growth</w:t>
            </w:r>
          </w:p>
        </w:tc>
      </w:tr>
    </w:tbl>
    <w:p/>
    <w:p>
      <w:pPr>
        <w:spacing w:after="40"/>
      </w:pPr>
      <w:r>
        <w:rPr>
          <w:b/>
          <w:color w:val="66717E"/>
          <w:sz w:val="17"/>
        </w:rPr>
        <w:t>CORE QUESTION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What does a transparent five-year FCFF model imply for ITC under explicit operating, working-capital and discount-rate assumptions - and which conclusions remain too uncertain to present as investment recommendations?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Reference price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INR 263.50</w:t>
            </w:r>
          </w:p>
        </w:tc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FY26 revenue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INR 89,913.33cr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FY26 PAT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INR 20,689.47cr</w:t>
            </w:r>
          </w:p>
        </w:tc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Shares outstanding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1,252.95cr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Prepared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September 2026</w:t>
            </w:r>
          </w:p>
        </w:tc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Author</w:t>
            </w:r>
          </w:p>
        </w:tc>
        <w:tc>
          <w:tcPr>
            <w:tcW w:type="dxa" w:w="2376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Ayush Chakraborty</w:t>
            </w:r>
          </w:p>
        </w:tc>
      </w:tr>
    </w:tbl>
    <w:p/>
    <w:p>
      <w:r>
        <w:rPr>
          <w:color w:val="66717E"/>
          <w:sz w:val="17"/>
        </w:rPr>
        <w:t>Economics, Durham University | September 2026</w:t>
      </w:r>
    </w:p>
    <w:p>
      <w:r>
        <w:rPr>
          <w:color w:val="66717E"/>
          <w:sz w:val="16"/>
        </w:rPr>
        <w:t>Independent research for portfolio / educational purposes. The DCF is an illustrative scenario output, not a price target or investment recommendation.</w:t>
      </w:r>
    </w:p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01 | INVESTMENT VIEW</w:t>
      </w:r>
    </w:p>
    <w:p>
      <w:pPr>
        <w:pStyle w:val="Heading1"/>
      </w:pPr>
      <w:r>
        <w:t>Executive summary</w:t>
      </w:r>
    </w:p>
    <w:p>
      <w:pPr>
        <w:spacing w:after="160"/>
        <w:pBdr>
          <w:bottom w:val="single" w:sz="12" w:color="173A63"/>
        </w:pBdr>
      </w:pPr>
    </w:p>
    <w:p>
      <w:r>
        <w:t>The uploaded workbook produces an illustrative central DCF of INR 362.7 per share against the INR 263.50 reference price used in the analysis, implying a 37.7% gap. The central case uses a 9.5% WACC and 4.5% terminal growth rate.</w:t>
      </w:r>
    </w:p>
    <w:p>
      <w:r>
        <w:t>The model is formula-driven, begins from FY26 consolidated actuals, forecasts five years of FCFF and includes a WACC / terminal-growth sensitivity. The valuation should be read as a scenario rather than a recommendation.</w:t>
      </w:r>
    </w:p>
    <w:p>
      <w:r>
        <w:t>The reference price is the market reference used in the analysis and is not presented as a newly independently verified 9 September 2026 closing price.</w:t>
      </w:r>
    </w:p>
    <w:p/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Audit conclusion: the DCF arithmetic reconciles internally. The prior compact PDF contains stale forecast and valuation figures that do not match the uploaded workbook; this restyled report uses the workbook's current values.</w:t>
            </w:r>
          </w:p>
        </w:tc>
      </w:tr>
    </w:tbl>
    <w:p/>
    <w:p>
      <w:pPr>
        <w:spacing w:after="40"/>
      </w:pPr>
      <w:r>
        <w:rPr>
          <w:b/>
          <w:color w:val="66717E"/>
          <w:sz w:val="17"/>
        </w:rPr>
        <w:t>CENTRAL OUTPUTS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INR 83,801cr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PV explicit FCFF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INR 344,039cr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PV terminal value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INR 427,841cr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Enterprise value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INR 454,489cr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Equity value</w:t>
            </w:r>
          </w:p>
        </w:tc>
      </w:tr>
    </w:tbl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02 | MODEL FOUNDATION</w:t>
      </w:r>
    </w:p>
    <w:p>
      <w:pPr>
        <w:pStyle w:val="Heading1"/>
      </w:pPr>
      <w:r>
        <w:t>Historical inputs &amp; central assumptions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Historical input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FY26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Revenue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89,913.33cr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EBIT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INR 28,033.18cr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D&amp;A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1,710.53cr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PAT attributable to owners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INR 20,689.47cr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Inventory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18,622.96cr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Net working capital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INR 16,906.27cr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Central assumption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Value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Tax rate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25.0%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D&amp;A / revenue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1.9%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Capex / revenue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2.6%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NWC / revenue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18.7% FY27E -&gt; 18.0% FY31E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WACC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9.5%</w:t>
            </w:r>
          </w:p>
        </w:tc>
      </w:tr>
      <w:tr>
        <w:tc>
          <w:tcPr>
            <w:tcW w:type="dxa" w:w="518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Terminal growth</w:t>
            </w:r>
          </w:p>
        </w:tc>
        <w:tc>
          <w:tcPr>
            <w:tcW w:type="dxa" w:w="374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4.5%</w:t>
            </w:r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The model separates operating assumptions from valuation assumptions, making the main drivers visible and testable.</w:t>
            </w:r>
          </w:p>
        </w:tc>
      </w:tr>
    </w:tbl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03 | FIVE-YEAR FORECAST</w:t>
      </w:r>
    </w:p>
    <w:p>
      <w:pPr>
        <w:pStyle w:val="Heading1"/>
      </w:pPr>
      <w:r>
        <w:t>Revenue, EBIT &amp; FCFF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Revenue (INR cr)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EBIT (INR cr)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FCFF (INR cr)</w:t>
            </w:r>
          </w:p>
        </w:tc>
      </w:tr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FY27E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96,656.8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27,063.9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18,452.8</w:t>
            </w:r>
          </w:p>
        </w:tc>
      </w:tr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FY28E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104,002.7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29,536.8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20,258.9</w:t>
            </w:r>
          </w:p>
        </w:tc>
      </w:tr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FY29E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111,386.9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32,079.4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22,136.6</w:t>
            </w:r>
          </w:p>
        </w:tc>
      </w:tr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FY30E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118,404.3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34,574.1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24,054.3</w:t>
            </w:r>
          </w:p>
        </w:tc>
      </w:tr>
      <w:tr>
        <w:tc>
          <w:tcPr>
            <w:tcW w:type="dxa" w:w="14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FY31E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125,390.2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37,240.9</w:t>
            </w:r>
          </w:p>
        </w:tc>
        <w:tc>
          <w:tcPr>
            <w:tcW w:type="dxa" w:w="259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25,913.9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42"/>
        <w:gridCol w:w="1742"/>
        <w:gridCol w:w="1742"/>
        <w:gridCol w:w="1742"/>
        <w:gridCol w:w="1742"/>
        <w:gridCol w:w="1742"/>
      </w:tblGrid>
      <w:tr>
        <w:tc>
          <w:tcPr>
            <w:tcW w:type="dxa" w:w="216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Driver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FY27E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FY28E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FY29E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FY30E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FY31E</w:t>
            </w:r>
          </w:p>
        </w:tc>
      </w:tr>
      <w:tr>
        <w:tc>
          <w:tcPr>
            <w:tcW w:type="dxa" w:w="216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Revenue growth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7.5%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7.6%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7.1%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6.3%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5.9%</w:t>
            </w:r>
          </w:p>
        </w:tc>
      </w:tr>
      <w:tr>
        <w:tc>
          <w:tcPr>
            <w:tcW w:type="dxa" w:w="216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EBIT margin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28.0%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28.4%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28.8%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29.2%</w:t>
            </w:r>
          </w:p>
        </w:tc>
        <w:tc>
          <w:tcPr>
            <w:tcW w:type="dxa" w:w="136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29.7%</w:t>
            </w:r>
          </w:p>
        </w:tc>
      </w:tr>
    </w:tbl>
    <w:p/>
    <w:p>
      <w:r>
        <w:t>FCFF is constructed as NOPAT + D&amp;A - capex - change in net working capital. The model therefore makes cash-conversion assumptions visible rather than valuing EBIT directly.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Current-workbook check: these forecast values supersede the slightly different figures in the uploaded compact PDF.</w:t>
            </w:r>
          </w:p>
        </w:tc>
      </w:tr>
    </w:tbl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04 | DCF VALUATION</w:t>
      </w:r>
    </w:p>
    <w:p>
      <w:pPr>
        <w:pStyle w:val="Heading1"/>
      </w:pPr>
      <w:r>
        <w:t>Enterprise-to-equity bridge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Component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7"/>
              </w:rPr>
              <w:t>Central case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PV explicit FCFF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83,801.2cr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PV terminal value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INR 344,039.4cr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Enterprise value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427,840.6cr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Valuation adjustments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INR 26,648.6cr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Equity value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454,489.2cr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Shares outstanding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1,252.95cr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Illustrative value / share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7"/>
              </w:rPr>
              <w:t>INR 362.7</w:t>
            </w:r>
          </w:p>
        </w:tc>
      </w:tr>
      <w:tr>
        <w:tc>
          <w:tcPr>
            <w:tcW w:type="dxa" w:w="504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Gap to reference price</w:t>
            </w:r>
          </w:p>
        </w:tc>
        <w:tc>
          <w:tcPr>
            <w:tcW w:type="dxa" w:w="3888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7"/>
              </w:rPr>
              <w:t>37.7%</w:t>
            </w:r>
          </w:p>
        </w:tc>
      </w:tr>
    </w:tbl>
    <w:p/>
    <w:p>
      <w:pPr>
        <w:spacing w:after="40"/>
      </w:pPr>
      <w:r>
        <w:rPr>
          <w:b/>
          <w:color w:val="66717E"/>
          <w:sz w:val="17"/>
        </w:rPr>
        <w:t>ARITHMETIC CHECKS</w:t>
      </w:r>
    </w:p>
    <w:p>
      <w:r>
        <w:t>Enterprise value = INR 83,801.2cr + INR 344,039.4cr = INR 427,840.6cr.</w:t>
      </w:r>
    </w:p>
    <w:p>
      <w:r>
        <w:t>Equity value = INR 427,840.6cr + INR 26,648.6cr = INR 454,489.2cr.</w:t>
      </w:r>
    </w:p>
    <w:p>
      <w:r>
        <w:t>Value / share = INR 454,489.2cr / 1,252.95cr shares = INR 362.7.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The terminal value is the dominant component of enterprise value, so the WACC / terminal-growth sensitivity is essential rather than optional.</w:t>
            </w:r>
          </w:p>
        </w:tc>
      </w:tr>
    </w:tbl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05 | VALUATION SENSITIVITY</w:t>
      </w:r>
    </w:p>
    <w:p>
      <w:pPr>
        <w:pStyle w:val="Heading1"/>
      </w:pPr>
      <w:r>
        <w:t>WACC / terminal-growth matrix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42"/>
        <w:gridCol w:w="1742"/>
        <w:gridCol w:w="1742"/>
        <w:gridCol w:w="1742"/>
        <w:gridCol w:w="1742"/>
        <w:gridCol w:w="1742"/>
      </w:tblGrid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WACC \ TG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3.5%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4.0%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4.5%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5.0%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5.5%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8.5%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374.7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407.9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449.4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502.7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573.7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9.0%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342.0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368.7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401.2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441.9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494.3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9.5%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314.8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336.6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362.7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394.7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434.7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10.0%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291.7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309.8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331.2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356.9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388.3</w:t>
            </w:r>
          </w:p>
        </w:tc>
      </w:tr>
      <w:tr>
        <w:tc>
          <w:tcPr>
            <w:tcW w:type="dxa" w:w="1800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10.5%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272.0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287.2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305.0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326.0</w:t>
            </w:r>
          </w:p>
        </w:tc>
        <w:tc>
          <w:tcPr>
            <w:tcW w:type="dxa" w:w="151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351.3</w:t>
            </w:r>
          </w:p>
        </w:tc>
      </w:tr>
    </w:tbl>
    <w:p/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Central case: 9.5% WACC / 4.5% terminal growth = INR 362.7 per share.</w:t>
            </w:r>
          </w:p>
        </w:tc>
      </w:tr>
    </w:tbl>
    <w:p/>
    <w:p>
      <w:r>
        <w:t>Across the displayed assumptions, implied value ranges from roughly INR 272 to INR 574 per share, demonstrating how sensitive a long-duration DCF is to discount-rate and terminal-growth choices.</w:t>
      </w:r>
    </w:p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06 | EXPLORATORY MACRO REGRESSION</w:t>
      </w:r>
    </w:p>
    <w:p>
      <w:pPr>
        <w:pStyle w:val="Heading1"/>
      </w:pPr>
      <w:r>
        <w:t>ITC returns, repo-rate changes &amp; NIFTY returns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30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Term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Coefficient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HC1 robust SE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p-value</w:t>
            </w:r>
          </w:p>
        </w:tc>
      </w:tr>
      <w:tr>
        <w:tc>
          <w:tcPr>
            <w:tcW w:type="dxa" w:w="230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Intercept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-0.000649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0.006457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0.919946</w:t>
            </w:r>
          </w:p>
        </w:tc>
      </w:tr>
      <w:tr>
        <w:tc>
          <w:tcPr>
            <w:tcW w:type="dxa" w:w="230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Repo change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0.112253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0.026771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0.00002753</w:t>
            </w:r>
          </w:p>
        </w:tc>
      </w:tr>
      <w:tr>
        <w:tc>
          <w:tcPr>
            <w:tcW w:type="dxa" w:w="230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NIFTY return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0.951274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0.146506</w:t>
            </w:r>
          </w:p>
        </w:tc>
        <w:tc>
          <w:tcPr>
            <w:tcW w:type="dxa" w:w="2232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8.41e-11</w:t>
            </w:r>
          </w:p>
        </w:tc>
      </w:tr>
    </w:tbl>
    <w:p/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64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Observations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0.3682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R-squared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May 2021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Sample begins</w:t>
            </w:r>
          </w:p>
        </w:tc>
        <w:tc>
          <w:tcPr>
            <w:tcW w:type="dxa" w:w="2613"/>
            <w:tcMar>
              <w:top w:w="130" w:type="dxa"/>
              <w:start w:w="130" w:type="dxa"/>
              <w:bottom w:w="130" w:type="dxa"/>
              <w:end w:w="130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pPr>
              <w:jc w:val="center"/>
            </w:pPr>
            <w:r>
              <w:rPr>
                <w:b/>
                <w:color w:val="173A63"/>
                <w:sz w:val="34"/>
              </w:rPr>
              <w:t>Aug 2026</w:t>
            </w:r>
          </w:p>
          <w:p>
            <w:pPr>
              <w:jc w:val="center"/>
            </w:pPr>
            <w:r>
              <w:rPr>
                <w:color w:val="66717E"/>
                <w:sz w:val="14"/>
              </w:rPr>
              <w:t>Sample ends</w:t>
            </w:r>
          </w:p>
        </w:tc>
      </w:tr>
    </w:tbl>
    <w:p/>
    <w:p>
      <w:r>
        <w:t>Specification: ITC_Return ~ Repo_Change + NIFTY_Return, using HC1 robust covariance and normal-approximation p-values. Re-running the supplied CSV reproduces the workbook and R-script coefficients, robust standard errors, p-values and R-squared.</w:t>
      </w:r>
    </w:p>
    <w:p>
      <w:r>
        <w:t>The regression remains exploratory association analysis rather than a causal design. The supplied monthly return series can be reproduced from the CSV, but the underlying price observations, corporate-action adjustments and extraction timestamps were not supplied for independent certification.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Audit result: regression outputs reproduce exactly to the displayed precision from the supplied 64-row dataset.</w:t>
            </w:r>
          </w:p>
        </w:tc>
      </w:tr>
    </w:tbl>
    <w:p>
      <w:r>
        <w:br w:type="page"/>
      </w:r>
    </w:p>
    <w:p>
      <w:pPr>
        <w:spacing w:after="40"/>
      </w:pPr>
      <w:r>
        <w:rPr>
          <w:b/>
          <w:color w:val="66717E"/>
          <w:sz w:val="17"/>
        </w:rPr>
        <w:t>07 | PUBLIC INFORMATION</w:t>
      </w:r>
    </w:p>
    <w:p>
      <w:pPr>
        <w:pStyle w:val="Heading1"/>
      </w:pPr>
      <w:r>
        <w:t>Sources, limitations &amp; audit notes</w:t>
      </w:r>
    </w:p>
    <w:p>
      <w:pPr>
        <w:spacing w:after="160"/>
        <w:pBdr>
          <w:bottom w:val="single" w:sz="12" w:color="173A63"/>
        </w:pBdr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Source / evidence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173A63"/>
          </w:tcPr>
          <w:p>
            <w:r>
              <w:rPr>
                <w:b/>
                <w:color w:val="FFFFFF"/>
                <w:sz w:val="16"/>
              </w:rPr>
              <w:t>Use</w:t>
            </w:r>
          </w:p>
        </w:tc>
      </w:tr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ITC quarterly results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FY26 financial inputs and operating context</w:t>
            </w:r>
          </w:p>
        </w:tc>
      </w:tr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ITC Q1 FY27 media statement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Current operating context</w:t>
            </w:r>
          </w:p>
        </w:tc>
      </w:tr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RBI policy statements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Policy-rate dates used in regression dataset</w:t>
            </w:r>
          </w:p>
        </w:tc>
      </w:tr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Uploaded regression CSV + R script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  <w:shd w:fill="F3F7FB"/>
          </w:tcPr>
          <w:p>
            <w:r>
              <w:rPr>
                <w:sz w:val="16"/>
              </w:rPr>
              <w:t>Regression replication</w:t>
            </w:r>
          </w:p>
        </w:tc>
      </w:tr>
      <w:tr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Uploaded Excel workbook</w:t>
            </w:r>
          </w:p>
        </w:tc>
        <w:tc>
          <w:tcPr>
            <w:tcW w:type="dxa" w:w="4464"/>
            <w:vAlign w:val="center"/>
            <w:tcMar>
              <w:top w:w="85" w:type="dxa"/>
              <w:start w:w="85" w:type="dxa"/>
              <w:bottom w:w="85" w:type="dxa"/>
              <w:end w:w="8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sz w:val="16"/>
              </w:rPr>
              <w:t>Forecast, DCF and sensitivity source of truth for this report</w:t>
            </w:r>
          </w:p>
        </w:tc>
      </w:tr>
    </w:tbl>
    <w:p/>
    <w:p>
      <w:pPr>
        <w:spacing w:after="40"/>
      </w:pPr>
      <w:r>
        <w:rPr>
          <w:b/>
          <w:color w:val="66717E"/>
          <w:sz w:val="17"/>
        </w:rPr>
        <w:t>AUDIT FINDINGS</w:t>
      </w:r>
    </w:p>
    <w:p>
      <w:pPr>
        <w:spacing w:after="80"/>
      </w:pPr>
      <w:r>
        <w:t>• DCF arithmetic reconciles: explicit-period PV + terminal-value PV = enterprise value; enterprise value + valuation adjustments = equity value; equity value / shares = value per share.</w:t>
      </w:r>
    </w:p>
    <w:p>
      <w:pPr>
        <w:spacing w:after="80"/>
      </w:pPr>
      <w:r>
        <w:t>• The regression independently reproduces from the supplied CSV and matches the supplied R-script reference outputs.</w:t>
      </w:r>
    </w:p>
    <w:p>
      <w:pPr>
        <w:spacing w:after="80"/>
      </w:pPr>
      <w:r>
        <w:t>• The uploaded compact PDF is stale versus the uploaded workbook: its forecast, PV, enterprise-value and equity-value figures differ slightly from the workbook. This new report uses the workbook's current figures.</w:t>
      </w:r>
    </w:p>
    <w:p>
      <w:pPr>
        <w:spacing w:after="80"/>
      </w:pPr>
      <w:r>
        <w:t>• One workbook presentation bug remains: DCF row 'Illustrative gap' displays the value-per-share output rather than the percentage gap. The Dashboard gap is correct at 37.7%.</w:t>
      </w:r>
    </w:p>
    <w:p>
      <w:pPr>
        <w:spacing w:after="80"/>
      </w:pPr>
      <w:r>
        <w:t>• The underlying monthly stock/index price observations were not supplied, so the return series itself is reproduced but not independently certified.</w:t>
      </w:r>
    </w:p>
    <w:p>
      <w:pPr>
        <w:spacing w:after="80"/>
      </w:pPr>
      <w:r>
        <w:t>• SOTP and forward-P/E cross-checks remain omitted because independently dated peer multiples and a fully sourced forward-earnings bridge were not supplied.</w:t>
      </w:r>
    </w:p>
    <w:p/>
    <w:tbl>
      <w:tblPr>
        <w:tblW w:type="auto" w:w="0"/>
        <w:tblLook w:firstColumn="1" w:firstRow="1" w:lastColumn="0" w:lastRow="0" w:noHBand="0" w:noVBand="1" w:val="04A0"/>
      </w:tblPr>
      <w:tblGrid>
        <w:gridCol w:w="10454"/>
      </w:tblGrid>
      <w:tr>
        <w:tc>
          <w:tcPr>
            <w:tcW w:type="dxa" w:w="10454"/>
            <w:shd w:fill="F3F7FB"/>
            <w:tcMar>
              <w:top w:w="135" w:type="dxa"/>
              <w:start w:w="135" w:type="dxa"/>
              <w:bottom w:w="135" w:type="dxa"/>
              <w:end w:w="135" w:type="dxa"/>
            </w:tcMar>
            <w:tcBorders>
              <w:top w:val="single" w:sz="4" w:color="D9E1E8"/>
              <w:left w:val="single" w:sz="4" w:color="D9E1E8"/>
              <w:bottom w:val="single" w:sz="4" w:color="D9E1E8"/>
              <w:right w:val="single" w:sz="4" w:color="D9E1E8"/>
            </w:tcBorders>
          </w:tcPr>
          <w:p>
            <w:r>
              <w:rPr>
                <w:b/>
                <w:color w:val="173A63"/>
                <w:sz w:val="20"/>
              </w:rPr>
              <w:t>Prepared independently by Ayush Chakraborty | September 2026</w:t>
            </w:r>
          </w:p>
        </w:tc>
      </w:tr>
    </w:tbl>
    <w:p>
      <w:pPr>
        <w:jc w:val="center"/>
      </w:pPr>
      <w:r>
        <w:rPr>
          <w:color w:val="66717E"/>
          <w:sz w:val="16"/>
        </w:rPr>
        <w:t>Independent research for portfolio / educational purposes - not investment advice.</w:t>
      </w:r>
    </w:p>
    <w:sectPr w:rsidR="00FC693F" w:rsidRPr="0006063C" w:rsidSect="00034616">
      <w:footerReference w:type="default" r:id="rId9"/>
      <w:pgSz w:w="12240" w:h="15840"/>
      <w:pgMar w:top="792" w:right="893" w:bottom="792" w:left="8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66717E"/>
        <w:sz w:val="15"/>
      </w:rPr>
      <w:t>Ayush Chakraborty | Independent Equity Research</w:t>
    </w:r>
    <w:r>
      <w:t xml:space="preserve">                                                           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172B3A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" w:hAnsi="Aptos"/>
      <w:b/>
      <w:bCs/>
      <w:color w:val="173A63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2F75B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" w:hAnsi="Aptos"/>
      <w:b/>
      <w:color w:val="173A63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